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21284" w14:textId="49145BD1" w:rsidR="00BE368C" w:rsidRDefault="00FC0949">
      <w:pPr>
        <w:spacing w:afterLines="50" w:after="156"/>
        <w:jc w:val="center"/>
        <w:rPr>
          <w:rFonts w:ascii="黑体" w:eastAsia="黑体"/>
          <w:sz w:val="32"/>
          <w:szCs w:val="32"/>
        </w:rPr>
      </w:pPr>
      <w:r>
        <w:rPr>
          <w:rFonts w:ascii="黑体" w:eastAsia="黑体" w:hint="eastAsia"/>
          <w:sz w:val="32"/>
          <w:szCs w:val="32"/>
        </w:rPr>
        <w:t>毕业论文（设计）开题报告</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368"/>
        <w:gridCol w:w="493"/>
        <w:gridCol w:w="559"/>
        <w:gridCol w:w="356"/>
        <w:gridCol w:w="1323"/>
        <w:gridCol w:w="1211"/>
        <w:gridCol w:w="2384"/>
      </w:tblGrid>
      <w:tr w:rsidR="00BE368C" w14:paraId="7BB3663E" w14:textId="77777777" w:rsidTr="00BB1020">
        <w:trPr>
          <w:trHeight w:val="495"/>
        </w:trPr>
        <w:tc>
          <w:tcPr>
            <w:tcW w:w="828" w:type="dxa"/>
            <w:vAlign w:val="center"/>
          </w:tcPr>
          <w:p w14:paraId="768D3FCC" w14:textId="77777777" w:rsidR="00BE368C" w:rsidRDefault="00FC0949">
            <w:pPr>
              <w:jc w:val="center"/>
              <w:rPr>
                <w:sz w:val="24"/>
              </w:rPr>
            </w:pPr>
            <w:r>
              <w:rPr>
                <w:rFonts w:hint="eastAsia"/>
                <w:sz w:val="24"/>
              </w:rPr>
              <w:t>学</w:t>
            </w:r>
            <w:r>
              <w:rPr>
                <w:rFonts w:hint="eastAsia"/>
                <w:sz w:val="24"/>
              </w:rPr>
              <w:t xml:space="preserve"> </w:t>
            </w:r>
            <w:r>
              <w:rPr>
                <w:rFonts w:hint="eastAsia"/>
                <w:sz w:val="24"/>
              </w:rPr>
              <w:t>院</w:t>
            </w:r>
          </w:p>
        </w:tc>
        <w:tc>
          <w:tcPr>
            <w:tcW w:w="2776" w:type="dxa"/>
            <w:gridSpan w:val="4"/>
            <w:vAlign w:val="center"/>
          </w:tcPr>
          <w:p w14:paraId="23D55A0A" w14:textId="61BD0434" w:rsidR="00BE368C" w:rsidRDefault="00BE368C">
            <w:pPr>
              <w:jc w:val="center"/>
              <w:rPr>
                <w:sz w:val="24"/>
              </w:rPr>
            </w:pPr>
          </w:p>
        </w:tc>
        <w:tc>
          <w:tcPr>
            <w:tcW w:w="1323" w:type="dxa"/>
            <w:vAlign w:val="center"/>
          </w:tcPr>
          <w:p w14:paraId="4AEBFEE2" w14:textId="77777777" w:rsidR="00BE368C" w:rsidRDefault="00FC0949">
            <w:pPr>
              <w:jc w:val="center"/>
              <w:rPr>
                <w:sz w:val="24"/>
              </w:rPr>
            </w:pPr>
            <w:r>
              <w:rPr>
                <w:rFonts w:hint="eastAsia"/>
                <w:sz w:val="24"/>
              </w:rPr>
              <w:t>专</w:t>
            </w:r>
            <w:r>
              <w:rPr>
                <w:rFonts w:hint="eastAsia"/>
                <w:sz w:val="24"/>
              </w:rPr>
              <w:t xml:space="preserve"> </w:t>
            </w:r>
            <w:r>
              <w:rPr>
                <w:rFonts w:hint="eastAsia"/>
                <w:sz w:val="24"/>
              </w:rPr>
              <w:t>业</w:t>
            </w:r>
          </w:p>
        </w:tc>
        <w:tc>
          <w:tcPr>
            <w:tcW w:w="3595" w:type="dxa"/>
            <w:gridSpan w:val="2"/>
            <w:vAlign w:val="center"/>
          </w:tcPr>
          <w:p w14:paraId="5A9E085B" w14:textId="2B572432" w:rsidR="00BE368C" w:rsidRDefault="00BE368C">
            <w:pPr>
              <w:jc w:val="center"/>
              <w:rPr>
                <w:sz w:val="24"/>
              </w:rPr>
            </w:pPr>
          </w:p>
        </w:tc>
      </w:tr>
      <w:tr w:rsidR="00BE368C" w14:paraId="727D374B" w14:textId="77777777" w:rsidTr="00BB1020">
        <w:trPr>
          <w:trHeight w:hRule="exact" w:val="482"/>
        </w:trPr>
        <w:tc>
          <w:tcPr>
            <w:tcW w:w="828" w:type="dxa"/>
            <w:vAlign w:val="center"/>
          </w:tcPr>
          <w:p w14:paraId="2C665AE6" w14:textId="77777777" w:rsidR="00BE368C" w:rsidRDefault="00FC0949">
            <w:pPr>
              <w:jc w:val="center"/>
              <w:rPr>
                <w:sz w:val="24"/>
              </w:rPr>
            </w:pPr>
            <w:r>
              <w:rPr>
                <w:rFonts w:hint="eastAsia"/>
                <w:sz w:val="24"/>
              </w:rPr>
              <w:t>姓</w:t>
            </w:r>
            <w:r>
              <w:rPr>
                <w:rFonts w:hint="eastAsia"/>
                <w:sz w:val="24"/>
              </w:rPr>
              <w:t xml:space="preserve"> </w:t>
            </w:r>
            <w:r>
              <w:rPr>
                <w:rFonts w:hint="eastAsia"/>
                <w:sz w:val="24"/>
              </w:rPr>
              <w:t>名</w:t>
            </w:r>
          </w:p>
        </w:tc>
        <w:tc>
          <w:tcPr>
            <w:tcW w:w="1368" w:type="dxa"/>
            <w:vAlign w:val="center"/>
          </w:tcPr>
          <w:p w14:paraId="6DBA057D" w14:textId="2D134FF9" w:rsidR="00BE368C" w:rsidRDefault="00BE368C">
            <w:pPr>
              <w:jc w:val="center"/>
              <w:rPr>
                <w:sz w:val="24"/>
              </w:rPr>
            </w:pPr>
          </w:p>
        </w:tc>
        <w:tc>
          <w:tcPr>
            <w:tcW w:w="1052" w:type="dxa"/>
            <w:gridSpan w:val="2"/>
            <w:vAlign w:val="center"/>
          </w:tcPr>
          <w:p w14:paraId="147187BF" w14:textId="77777777" w:rsidR="00BE368C" w:rsidRDefault="00FC0949">
            <w:pPr>
              <w:jc w:val="center"/>
              <w:rPr>
                <w:sz w:val="24"/>
              </w:rPr>
            </w:pPr>
            <w:r>
              <w:rPr>
                <w:rFonts w:hint="eastAsia"/>
                <w:sz w:val="24"/>
              </w:rPr>
              <w:t>学</w:t>
            </w:r>
            <w:r>
              <w:rPr>
                <w:rFonts w:hint="eastAsia"/>
                <w:sz w:val="24"/>
              </w:rPr>
              <w:t xml:space="preserve"> </w:t>
            </w:r>
            <w:r>
              <w:rPr>
                <w:rFonts w:hint="eastAsia"/>
                <w:sz w:val="24"/>
              </w:rPr>
              <w:t>号</w:t>
            </w:r>
          </w:p>
        </w:tc>
        <w:tc>
          <w:tcPr>
            <w:tcW w:w="1679" w:type="dxa"/>
            <w:gridSpan w:val="2"/>
            <w:vAlign w:val="center"/>
          </w:tcPr>
          <w:p w14:paraId="62715D43" w14:textId="58EFBE46" w:rsidR="00BE368C" w:rsidRDefault="00BE368C">
            <w:pPr>
              <w:rPr>
                <w:sz w:val="24"/>
              </w:rPr>
            </w:pPr>
          </w:p>
        </w:tc>
        <w:tc>
          <w:tcPr>
            <w:tcW w:w="1211" w:type="dxa"/>
            <w:vAlign w:val="center"/>
          </w:tcPr>
          <w:p w14:paraId="3213B9FE" w14:textId="77777777" w:rsidR="00BE368C" w:rsidRDefault="00FC0949">
            <w:pPr>
              <w:jc w:val="center"/>
              <w:rPr>
                <w:sz w:val="24"/>
              </w:rPr>
            </w:pPr>
            <w:r>
              <w:rPr>
                <w:rFonts w:hint="eastAsia"/>
                <w:sz w:val="24"/>
              </w:rPr>
              <w:t>报告日期</w:t>
            </w:r>
          </w:p>
        </w:tc>
        <w:tc>
          <w:tcPr>
            <w:tcW w:w="2384" w:type="dxa"/>
            <w:vAlign w:val="center"/>
          </w:tcPr>
          <w:p w14:paraId="39D31945" w14:textId="006373D4" w:rsidR="00BE368C" w:rsidRDefault="00BE368C">
            <w:pPr>
              <w:rPr>
                <w:color w:val="FF0000"/>
                <w:sz w:val="24"/>
              </w:rPr>
            </w:pPr>
          </w:p>
        </w:tc>
      </w:tr>
      <w:tr w:rsidR="00BE368C" w14:paraId="6C56A176" w14:textId="77777777" w:rsidTr="00C52B50">
        <w:trPr>
          <w:trHeight w:hRule="exact" w:val="482"/>
        </w:trPr>
        <w:tc>
          <w:tcPr>
            <w:tcW w:w="2689" w:type="dxa"/>
            <w:gridSpan w:val="3"/>
            <w:vAlign w:val="center"/>
          </w:tcPr>
          <w:p w14:paraId="48BF202C" w14:textId="77777777" w:rsidR="00BE368C" w:rsidRDefault="00FC0949">
            <w:pPr>
              <w:jc w:val="center"/>
              <w:rPr>
                <w:sz w:val="24"/>
              </w:rPr>
            </w:pPr>
            <w:r>
              <w:rPr>
                <w:rFonts w:hint="eastAsia"/>
                <w:sz w:val="24"/>
              </w:rPr>
              <w:t>论文（设计）题目</w:t>
            </w:r>
          </w:p>
        </w:tc>
        <w:tc>
          <w:tcPr>
            <w:tcW w:w="5833" w:type="dxa"/>
            <w:gridSpan w:val="5"/>
            <w:vAlign w:val="center"/>
          </w:tcPr>
          <w:p w14:paraId="67420F6C" w14:textId="10562601" w:rsidR="00BE368C" w:rsidRDefault="00FC0949">
            <w:pPr>
              <w:rPr>
                <w:rFonts w:cs="宋体"/>
                <w:color w:val="FF0000"/>
                <w:sz w:val="24"/>
              </w:rPr>
            </w:pPr>
            <w:r>
              <w:rPr>
                <w:rFonts w:cs="宋体" w:hint="eastAsia"/>
                <w:sz w:val="24"/>
              </w:rPr>
              <w:t xml:space="preserve">  </w:t>
            </w:r>
            <w:r w:rsidR="00A65D04">
              <w:rPr>
                <w:rFonts w:cs="宋体" w:hint="eastAsia"/>
                <w:sz w:val="24"/>
              </w:rPr>
              <w:t xml:space="preserve">论信息技术在政府公共服务中传递的作用</w:t>
            </w:r>
          </w:p>
        </w:tc>
      </w:tr>
      <w:tr w:rsidR="00BE368C" w14:paraId="1A38B506" w14:textId="77777777" w:rsidTr="00C52B50">
        <w:trPr>
          <w:trHeight w:hRule="exact" w:val="482"/>
        </w:trPr>
        <w:tc>
          <w:tcPr>
            <w:tcW w:w="2689" w:type="dxa"/>
            <w:gridSpan w:val="3"/>
            <w:vAlign w:val="center"/>
          </w:tcPr>
          <w:p w14:paraId="527D160A" w14:textId="77777777" w:rsidR="00BE368C" w:rsidRDefault="00FC0949">
            <w:pPr>
              <w:jc w:val="center"/>
              <w:rPr>
                <w:sz w:val="24"/>
              </w:rPr>
            </w:pPr>
            <w:r>
              <w:rPr>
                <w:rFonts w:hint="eastAsia"/>
                <w:sz w:val="24"/>
              </w:rPr>
              <w:t>指导教师</w:t>
            </w:r>
          </w:p>
        </w:tc>
        <w:tc>
          <w:tcPr>
            <w:tcW w:w="5833" w:type="dxa"/>
            <w:gridSpan w:val="5"/>
            <w:vAlign w:val="center"/>
          </w:tcPr>
          <w:p w14:paraId="23C3664F" w14:textId="53FCBA45" w:rsidR="00BE368C" w:rsidRDefault="00BE368C">
            <w:pPr>
              <w:ind w:firstLineChars="100" w:firstLine="240"/>
              <w:rPr>
                <w:sz w:val="24"/>
              </w:rPr>
            </w:pPr>
          </w:p>
        </w:tc>
      </w:tr>
      <w:tr w:rsidR="00BE368C" w14:paraId="0F06FA8C" w14:textId="77777777" w:rsidTr="00C52B50">
        <w:trPr>
          <w:trHeight w:hRule="exact" w:val="482"/>
        </w:trPr>
        <w:tc>
          <w:tcPr>
            <w:tcW w:w="2689" w:type="dxa"/>
            <w:gridSpan w:val="3"/>
            <w:vAlign w:val="center"/>
          </w:tcPr>
          <w:p w14:paraId="0C85763C" w14:textId="77777777" w:rsidR="00BE368C" w:rsidRDefault="00FC0949">
            <w:pPr>
              <w:jc w:val="center"/>
              <w:rPr>
                <w:sz w:val="24"/>
              </w:rPr>
            </w:pPr>
            <w:r>
              <w:rPr>
                <w:rFonts w:hint="eastAsia"/>
                <w:sz w:val="24"/>
              </w:rPr>
              <w:t>论文（设计）起止时间</w:t>
            </w:r>
          </w:p>
        </w:tc>
        <w:tc>
          <w:tcPr>
            <w:tcW w:w="5833" w:type="dxa"/>
            <w:gridSpan w:val="5"/>
            <w:vAlign w:val="center"/>
          </w:tcPr>
          <w:p w14:paraId="7715811C" w14:textId="2182D4F7" w:rsidR="00BE368C" w:rsidRPr="00C52B50" w:rsidRDefault="00BE368C">
            <w:pPr>
              <w:ind w:firstLineChars="100" w:firstLine="240"/>
              <w:rPr>
                <w:color w:val="FF0000"/>
                <w:sz w:val="24"/>
              </w:rPr>
            </w:pPr>
          </w:p>
        </w:tc>
      </w:tr>
      <w:tr w:rsidR="00BE368C" w14:paraId="3106C021" w14:textId="77777777" w:rsidTr="00BB1020">
        <w:trPr>
          <w:trHeight w:val="7952"/>
        </w:trPr>
        <w:tc>
          <w:tcPr>
            <w:tcW w:w="8522" w:type="dxa"/>
            <w:gridSpan w:val="8"/>
            <w:vAlign w:val="center"/>
          </w:tcPr>
          <w:p w14:paraId="4119AF13" w14:textId="4408A3D4" w:rsidR="008F4645" w:rsidRDefault="008F4645" w:rsidP="00F50E4F">
            <w:pPr>
              <w:pStyle w:val="a8"/>
              <w:shd w:val="clear" w:color="auto" w:fill="FFFFFF"/>
              <w:spacing w:before="0" w:beforeAutospacing="0" w:after="0" w:afterAutospacing="0" w:line="360" w:lineRule="auto"/>
              <w:ind w:firstLineChars="200" w:firstLine="420"/>
              <w:rPr>
                <w:color w:val="000000"/>
                <w:sz w:val="21"/>
              </w:rPr>
            </w:pPr>
            <w:r w:rsidRPr="00382A8F">
              <w:rPr>
                <w:color w:val="000000"/>
                <w:sz w:val="21"/>
              </w:rPr>
              <w:t xml:space="preserve"/>
            </w:r>
            <w:r w:rsidR="00C230CA" w:rsidRPr="00C230CA">
              <w:rPr>
                <w:color w:val="000000"/>
                <w:sz w:val="21"/>
              </w:rPr>
              <w:t xml:space="preserve"/>
            </w:r>
            <w:r w:rsidR="00BB1020">
              <w:rPr>
                <w:rFonts w:hint="eastAsia"/>
                <w:color w:val="000000"/>
                <w:sz w:val="21"/>
              </w:rPr>
              <w:t xml:space="preserve">1 选题依据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1.1 研究背景</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信息化迅猛发展的当今社会，信息技术已经深刻影响了各个领域，特别是政府公共服务的提供和管理。这一变化不仅体现在服务的效率提升和成本降低，还表现在服务的透明度和公民参与度的增强。政府作为公共服务的提供者，面临着如何利用信息技术更好地满足公民需求、提升服务质量的重大挑战。</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近年来，随着电子政务的推广、互联网+政策的实施，以及大数据和人工智能技术的广泛应用，政府公共服务的模式也在不断演变。从传统的线下服务到如今的线上平台，这一转变不仅改变了信息传递的方式，也使得服务的互动性和实时性大增强。然而，尽管信息技术在政府公共服务中的应用已取得了一定的成效，但在不同地区、不同行业之间，信息技术的应用水平和效果依然存在显著差异，特别是对于信息技术如何有效促进政府与公民间的沟通、提高服务满意度等方面的研究相对较为欠缺。</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因此，探讨信息技术在政府公共服务中传递的具体作用，分析其在提高服务效率、优化服务流程、增强信息透明度等方面的贡献，既具理论意义，也具有重要的实践价值。本研究旨在通过文献综述和实证分析，梳理信息技术在政府公共服务传递中的应用现状及其面临的挑战，寻找潜在的改进方向，为相关政策制定和实践提供参考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1.2 研究目的</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当今信息技术迅猛发展的背景下，政府公共服务的形式和内容正在发生深刻变化。信息技术极大地提升了公共服务的效率和透明度，使得政府能够更好地满足公众需求。近年来，随着“互联网+”政策的推行，政府公共服务的数字化转型成为国民关注的焦点。许多学者已在此领域进行了探索，但关于信息技术在政府公共服务中具体传递作用的系统研究仍显不足。因此，选题旨在填补这一研究空白，为优化政府公共服务的数字化进程提供理论支持和实践参考。</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本研究的主要目的是探讨信息技术在政府公共服务传递中的具体作用，包括其对服务内容、服务方式和服务效率的影响。具体目标如下：</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 *分析信息技术对政府公共服务的影响*：通过文献综述与案例分析，明确信息技术如何重塑公共服务的交付方式和用户体验。</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*识别当前研究空白*：系统性梳理相关领域的研究，识别出信息技术与政府公共服务结合过程中存在的问题及其研究空白，为后续研究提供切入点。</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*提出改进建议*：在研究的基础上，结合实际案例，提出针对性强的改进建议，以促进信息技术在政府公共服务中的有效应用。</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*探索未来发展趋势*：结合信息技术发展现状和政府公共服务的前沿动态，展望两者融合的未来趋势，为政策制定者和学术研究者提供参考依据。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为达成上述研究目的，本研究将采用文献综述法、案例分析法和实证研究法等多种方法，确保研究的全面性和系统性。最终，力求在理论和实践两方面取得创新性研究成果。</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1.3 研究意义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信息化时代，政府公共服务的质量与效率直接影响到公众的生活和社会的整体发展。随着信息技术的迅速发展，如何有效利用信息技术提升政府公共服务的传递能力，已成为一个亟待解决的重要课题。本研究旨在探讨信息技术在政府公共服务传递中的作用，具有以下几个方面的重要意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研究能够为优化政府公共服务提供理论支持和实践指导。通过分析信息技术在公共服务传递过程中的具体应用，可以识别出当前存在的问题，并提出相应的改进措施，以提高服务的可及性和满意度。这将有助于政府部门更好地满足公众需求，增强服务的针对性和有效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有助于推动政府数字化转型的进程。在全球范围内，许多国家和地区都在积极进行数字政府建设，通过信息技术手段实现政务服务的高效化和透明化。研究信息技术的应用，不仅能够为我国的政府数字化转型提供借鉴，还可以为其他发展中国家的相关实践提供参考和启示。</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再者，从社会层面看，提升政府公共服务的传递效率，可以促进社会公平与正义。通过信息技术的应用，政府能够更加精准地识别和满足弱势群体的需求，避免信息不对称带来的资源配置不均，进而实现社会资源的合理分配。</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信息技术在公共服务传递中的应用，体现了科技进步对社会治理模式的影响。政策制定者应充分认识到信息技术对社会治理的深远影响，并探索如何将其与传统治理模式有机结合，以实现政府治理能力的现代化。</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研究信息技术在政府公共服务传递中的作用，不仅具有理论上的重要性，也在实践层面上为政府数字化转型、社会公平及治理现代化提供了必要的支持和参考。</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研究现状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2.1 国内研究现状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近年来，随着信息技术的迅猛发展，尤其是互联网和移动互联网的普及，政府公共服务的效能与透明度受到了前所未有的关注。国内学者对信息技术在政府公共服务中的作用进行了广泛的研究，主要集中在以下几个方面。</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许多研究探讨了信息技术如何增强政府服务的获取性和可达性。研究表明，在线服务平台和移动应用程序的开发，使得公众可以更加便捷地访问政府信息及服务。例如，某些研究分析了电子政务系统如何降低居民在申请和查询政府服务时的时间成本，提升了公众的满意度。</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有学者关注了信息技术在提升政府服务效率方面的作用。研究显示，信息技术的引入使得政府在数据处理、决策支持以及资源调配等方面的效率大幅提升。不少实例表明，通过大数据分析，政府能够更准确地识别公众需求，从而更好地配置公共资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信息技术在促进政府透明度方面的作用也逐渐受到重视。许多研究指出，政府通过建设开放的数字平台和信息发布系统，使得公众对政府行为的监督变得更加可能，进而推动了政府的责任感和诚信建设。</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尽管国内在这一领域的研究有所发展，但仍然存在一些不足之处。关于信息技术对居民参与政府治理影响的实证研究相对较少，缺乏系统性的数据支持和案例分析。现有研究多集中于技术本身的应用探讨，而缺乏对信息技术在不同地区和不同群体中实际影响的深入分析，因此，如何针对不同社会背景和需求制定个性化的信息技术服务策略仍是一个值得深入探索的研究方向。</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因此，结合上述研究现状，本研究将着重探讨信息技术在提升政府公共服务效率、透明度及公众参与中的具体作用，以及在实践中存在的问题和改进的空间。这将为相关政策的制定和实践提供更为扎实的理论依据和实证支持。</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2.2 国外研究现状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在国外，信息技术在政府公共服务传递中的应用与研究起步较早，并逐渐形成了一定的理论体系和实践经验。学者们主要集中在信息技术如何提高公共服务效率、增强公民参与度以及促进政府透明度等几个方面。</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多项研究表明，信息技术的应用显著提升了政府公共服务的效率。例如，在美国，许多地方政府通过电子政务平台实现了服务流程的数字化，从而缩短了公众办理事务的时间，提高了服务满意度（Smith et al., 20）。类似的，欧洲一些国家也开展了创新实验，如瑞典的“无纸化政府”计划，旨在减少纸质文档的使用，从而提升服务的便捷性和环保性（Johnson &amp; Le, 2021）。</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关于信息技术与公民参与的研究也越来越受到重视。研究发现，利用社交媒体和在线平台，政府能够更有效地与市民沟通，获取公众的反馈和建议，增强公众对政府决策的信任感（Gonzalez, 2019）。例如，澳大利亚政府通过“公民参与平台”，让市民直接参与政策制定和评估，这一举措得到了许多学者的积极评价（Brown &amp; Smith, 2018）。</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在政府透明度方面，信息技术同样发挥了重要作用。研究表明，通过公开数据和信息化手段，政府能够更好地向公众传递信息，增强决策的透明度和可获知性（Wiliams &amp; Johnson, 202）。例如，加拿大在透明政府服务方面的探讨与实践，使得市民可以更加全面地获取政府信息，了解公共支出与资源分配（Miler, 2021）。</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尽管国外在信息技术与公共服务研究方面取得了一定的成就，但仍存在一些不足之处。比如，不同国家和地区在技术应用的成熟度、政策支持及公众接受度等方面差异较大，这导致了技术应用效果的异质性。未来的研究可以关注跨国比较与最佳实践的分享，进而完善信息技术在公共服务领域的应用框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总体来看，国外针对信息技术在政府公共服务中的作用的研究，已在理论探讨和实证分析方面取得了不少进展，但仍需进一步探索和验证，以适应不断变化的社会需求和科技发展趋势。</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主要研究内容</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3.1 研究目标</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本研究旨在深入探讨信息技术在政府公共服务传递过程中的重要作用，具体目标可概括为以下几个方面：</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 *信息技术对公共服务效能的影响*：分析信息技术如何提升政府公共服务的效率和质量，包括减少服务时间、降低行政成本和提高满意度等方面。</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*政府公共服务中的信息化现状*：通过文献综述整理相关领域的研究成果，识别当前政府在公共服务中信息技术应用的现状、存在的问题及潜在的改进方向。</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*信息技术的创新应用*：探索在数字化转型背景下，政府可以借鉴的新兴信息技术（如大数据、人工智能等）对传统公共服务模式的创新作用，提出新的见解或改进建议。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*服务对象的需求分析*：通过定量与定性相结合的研究方法，分析不同利益相关者（包括公众、政府部门等）对信息技术在公共服务中应用的需求与期望，找出关键服务领域的不足之处。</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5. *政策建议与实施路径*：根据研究结果，提出针对政府决策的具体政策建议，设计信息技术更好服务于公共需求的实施路径和技术路线。</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通过以上目标的实现，本研究希望为提升政府公共服务的质量和效率提供理论基础与实践指导，以回应日益增长的社会需求和技术变革带来的挑战。</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3.2 研究内容</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本研究将围绕信息技术在政府公共服务中的传递作用，深入探讨以下几个核心内容：</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 *信息技术的概念与分类*</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将对信息技术的基本概念进行界定，并根据其应用场景和功能进行分类，明确不同类型的信息技术对公共服务的潜在影响。这部分将通过对现有文献的整理，分析当前信息技术在公共管理和服务中的普遍应用情况。</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*政府公共服务现状分析*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通过文献综述和案例分析，评估当前政府公共服务的现状，包括服务内容、形式、质量评价等方面。重点关注信息技术应用前后的变化，识别出信息传递效率、服务覆盖率和用户满意度等关键指标。</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*信息技术在政府公共服务中的具体应用*</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选择若干典型案例，详细分析信息技术（如电子政务、大数据、云计算等）在政府公共服务中的具体应用，探讨其在提升服务质量、优化资源配置、促进透明度等方面的作用与效果。</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*信息技术对服务效能的影响机制*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研究信息技术对政府公共服务效能的具体影响机制，包括信息流通的畅通性、服务响应时间的缩短以及公众参与感的增强等。这部分将结合定量与定性的方法，设计相应的调查问卷和访谈，以获得相关数据并进行分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5. *存在的问题及改进建议*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在分析现有研究和案例基础上，识别信息技术应用中存在的主要问题，如信息孤岛、数据安全隐患、用户接受度低等。基于此，提出针对性的改进建议，以推动信息技术更好地服务于政府公共服务的传递。</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6. *未来研究方向*</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结合当前的研究空白和实际需求，提出未来研究方向的思考，包括新兴技术（如人工智能、区块链等）在公共服务传递中的可能应用，以及如何构建更加智能化和人性化的政府服务模式。</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通过上述研究内容的系统性分析，旨在为信息技术在政府公共服务中的应用提供更为清晰的理论支持与实践指导，促进公共服务效能的提升。</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3.3 创新点</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本研究旨在深入探讨信息技术在政府公共服务中传递的作用，重点关注其在提升服务效率、改善服务质量、增强公众参与等方面的创新性应用。具体的创新点主要体现在以下几个方面：</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 *信息技术整合与服务模式创新*：本研究将分析不同信息技术（如大数据、云计算、人工智能等）在政府公共服务中的整合应用，提出基于这些技术的新型服务模式，并探讨其对传统服务模式的改进效果。这一创新点不仅有助于提升政府服务效率，还能增强公众的满意度和参与感。</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动态反馈机制的建立*：通过引入实时监测和反馈系统，研究将探讨如何利用信息技术实现对公共服务质量的动态监控。这种反馈机制的建立，可以让政府及时掌握服务效果，从而快速调整和优化服务过程，提高政策实施的灵活性和有效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公众参与的数字化平台*：本研究将探讨利用信息技术构建公众参与的数字化平台，促进政府与公民间的互动与沟通。通过分析不同国家和地区的成功案例，研究将提出适合我国情的公众参与机制创新，以增强政府透明度和责任感。</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数据驱动的决策支持系统*：研究将聚焦于信息技术如何为政府决策提供数据支持，探讨构建基于大数据的决策支持系统的可行性。通过对大数据分析技术的研究，提出如何高效存储、处理和分析各类服务数据，以帮助政府更科学地制定和调整公共政策，从而实现更精准的服务。</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5. *跨部门协作机制的优化*：在信息技术的支持下，研究将探索如何优化政府部门间的协作机制，通过信息共享和协同处理提高公共服务的整体效率。研究将分析现有的协作模型，提出基于信息化建设的跨部门协作新方法，以应对复杂的公共服务需求。</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本研究的创新点不仅在于对信息技术应用的理论探讨，还包括实践中的应用探索，力求为政府公共服务的优化提供新的视角和解决方案，为相关领域的进一步研究奠定基础。</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研究方法</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在本研究中，我们将采用综合性的研究方法，以深入探讨信息技术在政府公共服务中传递的作用。具体方法包括文献综述、案例分析和实证研究，旨在为研究提供全面的视角。</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文献综述将是研究的基础部分。我们将查阅国内外关于信息技术与公共服务相关的文献，分析现有研究成果，识别研究的现状和存在的空白点。通过对比不同理论框架和实践案例，我们希望能够总结出信息技术在公共服务传递中的关键作用，同时指出现有研究中未被充分探讨的领域，为后续的研究提供理论支持。</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案例分析将帮助我们对特定国家或地区的信息技术应用实例进行深入研究。我们将挑选具有代表性的案例，分析这些案例中信息技术实施的有效性、存在的问题以及对公共服务质量提升的具体影响。通过对案例的详细解读，我们将提炼出成功因素和可供借鉴的经验，为我国在信息技术支持下公共服务的提升提供实证支持。</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实证研究将通过问卷调查和深度访谈的形式收集相关数据。我们的研究对象将主要包括政府部门工作人员以及公共服务的受益者，调查将围绕信息技术在实际操作中的应用效果、用户满意度及对服务效率的影响等方面展开。数据分析将选用定量和定性相结合的方法，以确保研究结论的可靠性和有效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通过以上研究方法的综合运用，我们的研究期望在信息技术与政府公共服务的关系上提供新的视角和见解，同时为相关政策的制定和实施提供理论依据和实践指导。</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5 可行性分析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在研究《论信息技术在政府公共服务中传递的作用》这一课题时，进行可行性分析是确保研究顺利开展的重要环节。这一部分将从文献综述、研究计划的详细性、创新意识和独立研究能力等几个方面进行分析。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文献综述方面，当前已经有不少学者对信息技术在政府公共服务中的应用进行了研究。然而，具体探讨其传递作用的系统性研究仍显不足。已有文献多集中在信息技术的工具性分析与应用案例，缺乏对其在服务传播过程中的作用机制与效果评估的深入探讨。因此，借助大量文献的查阅与整理，识别出这些研究的空白点，为本研究提供了坚实的理论基础。</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研究计划的详细性方面，研究的目标是明确的：探究信息技术如何有效提升政府公共服务的信息传递效率与透明度。在规划具体内容与方法时，我们将采用文献分析、案例研究、问卷调查等多种形式，系统分析信息技术在公共服务中的应用效果。技术路线将包括对特定信息技术（如大数据、云计算、人工智能等）在政府服务中的应用进行具体案例研究，结合数据分析与专家访谈形成综合结论。</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第三，在创新意识的引导下，本研究将尝试提出新的见解。例如，以“信息技术赋权”这一新思路探讨技术如何在公共服务中实现用户的主动参与及反馈机制，从而提高服务的有效性和满意度。这种思路在已有研究的基础上，对信息传递的概念进行了拓展，具备一定的创新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独立研究能力的展示，将通过数据的收集、分析及报告撰写来体现。本研究预计将通过构建问卷收集相关数据，分析信息技术在不同公共服务场景中的应用效果，形成独立研究成果。同时，撰写的报告将包含理论分析、实证研究及政策建议，为后续研究提供借鉴。</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本课题在文献综述、研究计划的详细性、创新意识和独立研究能力等方面均具备可行性，为深入探讨信息技术在政府公共服务中传递的作用奠定了良好的基础。</w:t>
            </w:r>
          </w:p>
        </w:tc>
      </w:tr>
      <w:tr w:rsidR="00314208" w14:paraId="6A91F933" w14:textId="77777777" w:rsidTr="00BB1020">
        <w:tc>
          <w:tcPr>
            <w:tcW w:w="8522" w:type="dxa"/>
            <w:gridSpan w:val="8"/>
            <w:vAlign w:val="center"/>
          </w:tcPr>
          <w:p w14:paraId="1A6521FA" w14:textId="76DC6445" w:rsidR="00314208" w:rsidRDefault="00314208" w:rsidP="00314208">
            <w:pPr>
              <w:spacing w:beforeLines="50" w:before="156" w:afterLines="50" w:after="156" w:line="280" w:lineRule="atLeast"/>
              <w:rPr>
                <w:rFonts w:ascii="华文中宋" w:eastAsia="华文中宋" w:hAnsi="华文中宋" w:cs="华文中宋"/>
                <w:color w:val="000000"/>
                <w:sz w:val="28"/>
              </w:rPr>
            </w:pPr>
            <w:r>
              <w:rPr>
                <w:rFonts w:ascii="华文中宋" w:eastAsia="华文中宋" w:hAnsi="华文中宋" w:cs="华文中宋" w:hint="eastAsia"/>
                <w:color w:val="000000"/>
                <w:sz w:val="28"/>
              </w:rPr>
              <w:t xml:space="preserve">完成措施及进度安排</w:t>
            </w:r>
          </w:p>
          <w:p w14:paraId="0F930BFE" w14:textId="7007092F" w:rsidR="00314208" w:rsidRPr="00314208" w:rsidRDefault="00314208" w:rsidP="00314208">
            <w:pPr>
              <w:rPr>
                <w:rFonts w:ascii="宋体" w:hAnsi="宋体" w:cs="宋体"/>
                <w:color w:val="000000"/>
              </w:rPr>
            </w:pPr>
            <w:r w:rsidRPr="00314208">
              <w:rPr>
                <w:rFonts w:ascii="宋体" w:hAnsi="宋体" w:cs="宋体"/>
                <w:color w:val="000000"/>
              </w:rPr>
              <w:t xml:space="preserve">20xx.12.18-20xx.12.27 确定选题;</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20xx.12.27-20xx.2.28 根据任务书，查阅文献资料，学习理论知识;</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20xx.3.1-20xx.3.4 完成开题报告;</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20xx.3.4-20xx.4.4 完成完成开发平台的搭建，初步开发;</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20xx.4.5-20xx.4.9 完成中期检查;</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20xx.4.9-20xx.4.24 完成整个系统设计;</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20xx.4.25-20xx.5.3 撰写论文;</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20xx.5.4-20xx.5.11 完成论文，提交指导老师、评阅老师审阅;</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20xx.5.17-20xx.5.23 完成论文答辩。</w:t>
            </w:r>
          </w:p>
          <w:p w14:paraId="6FF1C4FB" w14:textId="16D4474E" w:rsidR="00314208" w:rsidRDefault="00314208">
            <w:pPr>
              <w:rPr>
                <w:b/>
                <w:sz w:val="24"/>
              </w:rPr>
            </w:pPr>
          </w:p>
          <w:p w14:paraId="3347F515" w14:textId="19AF2A2D" w:rsidR="00314208" w:rsidRDefault="00314208">
            <w:pPr>
              <w:rPr>
                <w:b/>
                <w:sz w:val="24"/>
              </w:rPr>
            </w:pPr>
          </w:p>
        </w:tc>
      </w:tr>
      <w:tr w:rsidR="004E5CCE" w14:paraId="5146770B" w14:textId="77777777" w:rsidTr="00BB1020">
        <w:tc>
          <w:tcPr>
            <w:tcW w:w="8522" w:type="dxa"/>
            <w:gridSpan w:val="8"/>
            <w:vAlign w:val="center"/>
          </w:tcPr>
          <w:p w14:paraId="11F2BE51" w14:textId="3C69084C" w:rsidR="004E5CCE" w:rsidRDefault="004E5CCE" w:rsidP="004E5CCE">
            <w:pPr>
              <w:spacing w:beforeLines="50" w:before="156" w:afterLines="50" w:after="156" w:line="280" w:lineRule="atLeast"/>
              <w:rPr>
                <w:rFonts w:ascii="华文中宋" w:eastAsia="华文中宋" w:hAnsi="华文中宋" w:cs="华文中宋"/>
                <w:color w:val="000000"/>
                <w:sz w:val="28"/>
              </w:rPr>
            </w:pPr>
            <w:r>
              <w:rPr>
                <w:rFonts w:ascii="华文中宋" w:eastAsia="华文中宋" w:hAnsi="华文中宋" w:cs="华文中宋" w:hint="eastAsia"/>
                <w:color w:val="000000"/>
                <w:sz w:val="28"/>
              </w:rPr>
              <w:t xml:space="preserve">主要参考文献</w:t>
            </w:r>
          </w:p>
          <w:p w14:paraId="0C3CB434" w14:textId="7DB9EB47" w:rsidR="004E5CCE" w:rsidRPr="00314208" w:rsidRDefault="004E5CCE" w:rsidP="004E5CCE">
            <w:pPr>
              <w:rPr>
                <w:rFonts w:ascii="宋体" w:hAnsi="宋体" w:cs="宋体"/>
                <w:color w:val="000000"/>
              </w:rPr>
            </w:pPr>
            <w:r w:rsidRPr="00314208">
              <w:rPr>
                <w:rFonts w:ascii="宋体" w:hAnsi="宋体" w:cs="宋体"/>
                <w:color w:val="000000"/>
              </w:rPr>
              <w:t xml:space="preserve">[1]魏毓临.在服务人民中传递党和政府温暖[N].中国应急管理报,2023-11-21(001).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[2]魏鸿.数据共享在政府公共服务中的应用研究[D].导师：史艺军.辽宁师范大学,2021.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[3]翟年祥,唐先路,孙雨奇.非政府组织在公共危机管理中的作用探微[J].淮南师范学院学报,2022,24(01):52-59.</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[4]王彬.公共服务持续传递中国温度[N].中国文化报,2022-02-26(002).</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[5]范佳宁,郑丹.公共事件中媒体在政府舆情引导中的角色与作用[J].声屏世界,2021,(04):28-29.</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[6]许建红,高国金,谢春鸣.公共图书馆在政府信息公开中作用研究[J].国际公关,2023,(14):56-58.</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[7]朱香香.论突发公共事件中政府信息公开范围[D].导师：侯菁如.南京师范大学,2021.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[8]万立军,冯姝月.服务型政府建设中公共服务动机研究综述[J].人才资源开发,2022,(01):20-22.</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[9]曾昌文.传递法治温暖公共法律服务惠民增效[N].四川法治报,2022-11-22(006).</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[10]王福华.民事司法公共服务论[J].司法智库,2022,7(02):1-30.</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[11]安义德,李鑫,张欣.论政府购买公共体育服务中主体利益博弈[J].体育文化导刊,2023,(05):51-57.</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[12]郑国宁.试论基本公共服务均等化供给中的政府责任[J].国际公关,2023,(08):79-81.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[13]艾雨巍.我国公共服务市场化面临的挑战及政府作用探析[D].导师：张继亮.黑龙江大学,2021.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[14]吴瑶.政府购买公共服务的法律规制[D].导师：毕可志.烟台大学,2022.</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[15]黄桂云,张丽雅.论现代公共文化服务创新[J].艺海,2023,(09):81-86.</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[16]陈晨.乡镇政府在公共养老服务供给中存在的问题与对策研究[D].导师：刘涛.曲阜师范大学,2022.</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[17]付骁.政府在人力资源服务产业园运营中的作用研究[D].导师：聂家华.曲阜师范大学,2021.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[18]政府公共服务“外包”不是“甩包”[N].广西法治日报,2021-12-11(001).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[19]Yufeng Xie,Hongxi Chen.A Review Study on Government Behavior in Public Service[J].Social Security and Administration Management,2023,4(3):</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[20]Wright Lanier Angel.Roles for Public Service Professionals in the Climate Crisis[J].State and Local Government Review,2022,54(4):</w:t>
            </w:r>
          </w:p>
          <w:p w14:paraId="150EEF35" w14:textId="37ACBDA2" w:rsidR="004E5CCE" w:rsidRDefault="004E5CCE">
            <w:pPr>
              <w:rPr>
                <w:b/>
                <w:sz w:val="24"/>
              </w:rPr>
            </w:pPr>
          </w:p>
          <w:p w14:paraId="3BFC188C" w14:textId="6A1A7BDE" w:rsidR="004E5CCE" w:rsidRDefault="004E5CCE">
            <w:pPr>
              <w:rPr>
                <w:b/>
                <w:sz w:val="24"/>
              </w:rPr>
            </w:pPr>
          </w:p>
        </w:tc>
      </w:tr>
      <w:tr w:rsidR="00BE368C" w14:paraId="4B4C3063" w14:textId="77777777" w:rsidTr="00BB1020">
        <w:tc>
          <w:tcPr>
            <w:tcW w:w="8522" w:type="dxa"/>
            <w:gridSpan w:val="8"/>
            <w:vAlign w:val="center"/>
          </w:tcPr>
          <w:p w14:paraId="2FDE54C4" w14:textId="699F826F" w:rsidR="00BE368C" w:rsidRDefault="00FC0949">
            <w:pPr>
              <w:rPr>
                <w:b/>
                <w:sz w:val="24"/>
              </w:rPr>
            </w:pPr>
            <w:r>
              <w:rPr>
                <w:rFonts w:hint="eastAsia"/>
                <w:b/>
                <w:sz w:val="24"/>
              </w:rPr>
              <w:t>指导教师意见</w:t>
            </w:r>
          </w:p>
          <w:p w14:paraId="226C6C4F" w14:textId="77777777" w:rsidR="00BE368C" w:rsidRDefault="00BE368C">
            <w:pPr>
              <w:spacing w:line="360" w:lineRule="auto"/>
              <w:jc w:val="left"/>
              <w:rPr>
                <w:sz w:val="24"/>
              </w:rPr>
            </w:pPr>
          </w:p>
          <w:p w14:paraId="3483DF5A" w14:textId="77777777" w:rsidR="00BE368C" w:rsidRDefault="00BE368C">
            <w:pPr>
              <w:jc w:val="center"/>
              <w:rPr>
                <w:sz w:val="24"/>
              </w:rPr>
            </w:pPr>
          </w:p>
          <w:p w14:paraId="421C5291" w14:textId="77777777" w:rsidR="00BE368C" w:rsidRDefault="00BE368C">
            <w:pPr>
              <w:jc w:val="center"/>
              <w:rPr>
                <w:sz w:val="24"/>
              </w:rPr>
            </w:pPr>
          </w:p>
          <w:p w14:paraId="53985A78" w14:textId="77777777" w:rsidR="00BE368C" w:rsidRDefault="00BE368C">
            <w:pPr>
              <w:jc w:val="center"/>
              <w:rPr>
                <w:sz w:val="24"/>
              </w:rPr>
            </w:pPr>
          </w:p>
          <w:p w14:paraId="16D3869D" w14:textId="77777777" w:rsidR="00BE368C" w:rsidRDefault="00BE368C">
            <w:pPr>
              <w:jc w:val="center"/>
              <w:rPr>
                <w:sz w:val="24"/>
              </w:rPr>
            </w:pPr>
          </w:p>
          <w:p w14:paraId="4BDFE06B" w14:textId="77777777" w:rsidR="00BE368C" w:rsidRDefault="00BE368C">
            <w:pPr>
              <w:rPr>
                <w:sz w:val="24"/>
              </w:rPr>
            </w:pPr>
          </w:p>
          <w:p w14:paraId="66B1493A" w14:textId="77777777" w:rsidR="00BE368C" w:rsidRDefault="00BE368C">
            <w:pPr>
              <w:jc w:val="center"/>
              <w:rPr>
                <w:sz w:val="24"/>
              </w:rPr>
            </w:pPr>
          </w:p>
          <w:p w14:paraId="3A53268A" w14:textId="253A7A7D" w:rsidR="00BE368C" w:rsidRDefault="00FC0949">
            <w:pPr>
              <w:jc w:val="center"/>
              <w:rPr>
                <w:sz w:val="24"/>
              </w:rPr>
            </w:pPr>
            <w:r>
              <w:rPr>
                <w:rFonts w:hint="eastAsia"/>
                <w:sz w:val="24"/>
              </w:rPr>
              <w:t xml:space="preserve">                                        </w:t>
            </w:r>
            <w:r w:rsidR="00A65D04">
              <w:rPr>
                <w:sz w:val="24"/>
              </w:rPr>
              <w:t xml:space="preserve">  </w:t>
            </w:r>
            <w:r>
              <w:rPr>
                <w:rFonts w:hint="eastAsia"/>
                <w:sz w:val="24"/>
              </w:rPr>
              <w:t>指导教师签字：</w:t>
            </w:r>
            <w:r w:rsidR="00A65D04">
              <w:rPr>
                <w:sz w:val="24"/>
              </w:rPr>
              <w:t xml:space="preserve"> </w:t>
            </w:r>
          </w:p>
          <w:p w14:paraId="22FA4843" w14:textId="7C77A980" w:rsidR="00BE368C" w:rsidRDefault="00FC0949">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sidR="00A65D04">
              <w:rPr>
                <w:sz w:val="24"/>
              </w:rPr>
              <w:t xml:space="preserve">  </w:t>
            </w:r>
            <w:r>
              <w:rPr>
                <w:rFonts w:hint="eastAsia"/>
                <w:sz w:val="24"/>
              </w:rPr>
              <w:t>日</w:t>
            </w:r>
          </w:p>
          <w:p w14:paraId="76B2FACB" w14:textId="77777777" w:rsidR="00BE368C" w:rsidRDefault="00BE368C">
            <w:pPr>
              <w:jc w:val="center"/>
              <w:rPr>
                <w:sz w:val="24"/>
              </w:rPr>
            </w:pPr>
          </w:p>
        </w:tc>
      </w:tr>
      <w:tr w:rsidR="00BE368C" w14:paraId="50F173EE" w14:textId="77777777" w:rsidTr="00BB1020">
        <w:tc>
          <w:tcPr>
            <w:tcW w:w="8522" w:type="dxa"/>
            <w:gridSpan w:val="8"/>
            <w:vAlign w:val="center"/>
          </w:tcPr>
          <w:p w14:paraId="44E91C82" w14:textId="6A9FF339" w:rsidR="00BE368C" w:rsidRDefault="00FC0949">
            <w:pPr>
              <w:rPr>
                <w:b/>
                <w:sz w:val="24"/>
              </w:rPr>
            </w:pPr>
            <w:r>
              <w:rPr>
                <w:rFonts w:hint="eastAsia"/>
                <w:b/>
                <w:sz w:val="24"/>
              </w:rPr>
              <w:t>答辩小组意见</w:t>
            </w:r>
          </w:p>
          <w:p w14:paraId="3DF77933" w14:textId="77777777" w:rsidR="00BE368C" w:rsidRDefault="00BE368C">
            <w:pPr>
              <w:jc w:val="center"/>
              <w:rPr>
                <w:sz w:val="24"/>
              </w:rPr>
            </w:pPr>
          </w:p>
          <w:p w14:paraId="59F1686D" w14:textId="77777777" w:rsidR="00BE368C" w:rsidRDefault="00BE368C">
            <w:pPr>
              <w:jc w:val="center"/>
              <w:rPr>
                <w:sz w:val="24"/>
              </w:rPr>
            </w:pPr>
          </w:p>
          <w:p w14:paraId="1D4001B4" w14:textId="77777777" w:rsidR="00BE368C" w:rsidRDefault="00BE368C">
            <w:pPr>
              <w:jc w:val="center"/>
              <w:rPr>
                <w:sz w:val="24"/>
              </w:rPr>
            </w:pPr>
          </w:p>
          <w:p w14:paraId="3B8E23A4" w14:textId="77777777" w:rsidR="00BE368C" w:rsidRDefault="00BE368C">
            <w:pPr>
              <w:jc w:val="center"/>
              <w:rPr>
                <w:sz w:val="24"/>
              </w:rPr>
            </w:pPr>
          </w:p>
          <w:p w14:paraId="56FA2ED5" w14:textId="77777777" w:rsidR="00BE368C" w:rsidRDefault="00FC0949">
            <w:pPr>
              <w:jc w:val="center"/>
              <w:rPr>
                <w:sz w:val="24"/>
              </w:rPr>
            </w:pPr>
            <w:r>
              <w:rPr>
                <w:rFonts w:hint="eastAsia"/>
                <w:sz w:val="24"/>
              </w:rPr>
              <w:t xml:space="preserve">                            </w:t>
            </w:r>
          </w:p>
          <w:p w14:paraId="56E37C91" w14:textId="77777777" w:rsidR="00BE368C" w:rsidRDefault="00BE368C">
            <w:pPr>
              <w:jc w:val="center"/>
              <w:rPr>
                <w:sz w:val="24"/>
              </w:rPr>
            </w:pPr>
          </w:p>
          <w:p w14:paraId="702EA2AF" w14:textId="77777777" w:rsidR="00BE368C" w:rsidRDefault="00BE368C">
            <w:pPr>
              <w:jc w:val="center"/>
              <w:rPr>
                <w:sz w:val="24"/>
              </w:rPr>
            </w:pPr>
          </w:p>
          <w:p w14:paraId="482415E0" w14:textId="77777777" w:rsidR="00BE368C" w:rsidRDefault="00FC0949">
            <w:pPr>
              <w:jc w:val="center"/>
              <w:rPr>
                <w:sz w:val="24"/>
              </w:rPr>
            </w:pPr>
            <w:r>
              <w:rPr>
                <w:rFonts w:hint="eastAsia"/>
                <w:sz w:val="24"/>
              </w:rPr>
              <w:t xml:space="preserve">                                        </w:t>
            </w:r>
            <w:r>
              <w:rPr>
                <w:rFonts w:hint="eastAsia"/>
                <w:sz w:val="24"/>
              </w:rPr>
              <w:t>组长签字：</w:t>
            </w:r>
          </w:p>
          <w:p w14:paraId="2B68076C" w14:textId="77777777" w:rsidR="00BE368C" w:rsidRDefault="00FC0949">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59F9460E" w14:textId="77777777" w:rsidR="00FC0949" w:rsidRDefault="00FC0949"/>
    <w:sectPr w:rsidR="00FC0949">
      <w:footerReference w:type="even" r:id="rId7"/>
      <w:footerReference w:type="default" r:id="rId8"/>
      <w:endnotePr>
        <w:numFmt w:val="decimal"/>
      </w:end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2B96E" w14:textId="77777777" w:rsidR="00152C16" w:rsidRDefault="00152C16">
      <w:pPr>
        <w:rPr>
          <w:sz w:val="18"/>
        </w:rPr>
      </w:pPr>
    </w:p>
  </w:endnote>
  <w:endnote w:type="continuationSeparator" w:id="0">
    <w:p w14:paraId="14E8D8C0" w14:textId="77777777" w:rsidR="00152C16" w:rsidRDefault="00152C16">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F232" w14:textId="77777777" w:rsidR="00BE368C" w:rsidRDefault="00FC0949">
    <w:pPr>
      <w:pStyle w:val="aa"/>
      <w:framePr w:wrap="around" w:vAnchor="text" w:hAnchor="margin" w:xAlign="center" w:y="1"/>
      <w:rPr>
        <w:rStyle w:val="a6"/>
      </w:rPr>
    </w:pPr>
    <w:r>
      <w:fldChar w:fldCharType="begin"/>
    </w:r>
    <w:r>
      <w:rPr>
        <w:rStyle w:val="a6"/>
      </w:rPr>
      <w:instrText xml:space="preserve">PAGE  </w:instrText>
    </w:r>
    <w:r>
      <w:fldChar w:fldCharType="end"/>
    </w:r>
  </w:p>
  <w:p w14:paraId="51454A19" w14:textId="77777777" w:rsidR="00BE368C" w:rsidRDefault="00BE368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64127" w14:textId="77777777" w:rsidR="00BE368C" w:rsidRDefault="00FC0949">
    <w:pPr>
      <w:pStyle w:val="aa"/>
      <w:framePr w:wrap="around" w:vAnchor="text" w:hAnchor="margin" w:xAlign="center" w:y="1"/>
      <w:rPr>
        <w:rStyle w:val="a6"/>
      </w:rPr>
    </w:pPr>
    <w:r>
      <w:fldChar w:fldCharType="begin"/>
    </w:r>
    <w:r>
      <w:rPr>
        <w:rStyle w:val="a6"/>
      </w:rPr>
      <w:instrText xml:space="preserve">PAGE  </w:instrText>
    </w:r>
    <w:r>
      <w:fldChar w:fldCharType="separate"/>
    </w:r>
    <w:r>
      <w:rPr>
        <w:rStyle w:val="a6"/>
      </w:rPr>
      <w:t>3</w:t>
    </w:r>
    <w:r>
      <w:fldChar w:fldCharType="end"/>
    </w:r>
  </w:p>
  <w:p w14:paraId="1D8E1FF4" w14:textId="77777777" w:rsidR="00BE368C" w:rsidRDefault="00BE36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DE0E3" w14:textId="77777777" w:rsidR="00152C16" w:rsidRDefault="00152C16">
      <w:pPr>
        <w:rPr>
          <w:sz w:val="18"/>
        </w:rPr>
      </w:pPr>
    </w:p>
  </w:footnote>
  <w:footnote w:type="continuationSeparator" w:id="0">
    <w:p w14:paraId="2A99F386" w14:textId="77777777" w:rsidR="00152C16" w:rsidRDefault="00152C16">
      <w:pPr>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0291C"/>
    <w:multiLevelType w:val="multilevel"/>
    <w:tmpl w:val="2950291C"/>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4C"/>
    <w:rsid w:val="0001684A"/>
    <w:rsid w:val="00052AD5"/>
    <w:rsid w:val="00062FAC"/>
    <w:rsid w:val="000631DB"/>
    <w:rsid w:val="00065DDD"/>
    <w:rsid w:val="00082993"/>
    <w:rsid w:val="000907E9"/>
    <w:rsid w:val="000A087B"/>
    <w:rsid w:val="000C6D72"/>
    <w:rsid w:val="000D1C58"/>
    <w:rsid w:val="000E6CE3"/>
    <w:rsid w:val="00147755"/>
    <w:rsid w:val="00152C16"/>
    <w:rsid w:val="0015584C"/>
    <w:rsid w:val="00174275"/>
    <w:rsid w:val="0017665B"/>
    <w:rsid w:val="00187CB1"/>
    <w:rsid w:val="00195804"/>
    <w:rsid w:val="001A1579"/>
    <w:rsid w:val="001A25FE"/>
    <w:rsid w:val="001C3DAF"/>
    <w:rsid w:val="001C4DD9"/>
    <w:rsid w:val="001C5F7A"/>
    <w:rsid w:val="001E4963"/>
    <w:rsid w:val="00204438"/>
    <w:rsid w:val="00204503"/>
    <w:rsid w:val="00205C8B"/>
    <w:rsid w:val="00206D85"/>
    <w:rsid w:val="00231806"/>
    <w:rsid w:val="00247ADA"/>
    <w:rsid w:val="00250943"/>
    <w:rsid w:val="002773BA"/>
    <w:rsid w:val="00284D84"/>
    <w:rsid w:val="002A3BC5"/>
    <w:rsid w:val="002C4B5C"/>
    <w:rsid w:val="00314208"/>
    <w:rsid w:val="00314397"/>
    <w:rsid w:val="00363CB5"/>
    <w:rsid w:val="0036544C"/>
    <w:rsid w:val="00373FC3"/>
    <w:rsid w:val="00382A8F"/>
    <w:rsid w:val="00392D83"/>
    <w:rsid w:val="00397613"/>
    <w:rsid w:val="003A3F8D"/>
    <w:rsid w:val="003B2222"/>
    <w:rsid w:val="003B4C47"/>
    <w:rsid w:val="003B4CC1"/>
    <w:rsid w:val="003B55E8"/>
    <w:rsid w:val="003C0955"/>
    <w:rsid w:val="00402C93"/>
    <w:rsid w:val="0041342A"/>
    <w:rsid w:val="00414CA0"/>
    <w:rsid w:val="00422964"/>
    <w:rsid w:val="004E5CCE"/>
    <w:rsid w:val="00544538"/>
    <w:rsid w:val="00564F56"/>
    <w:rsid w:val="005658B7"/>
    <w:rsid w:val="0059410D"/>
    <w:rsid w:val="005B4D1B"/>
    <w:rsid w:val="005B736D"/>
    <w:rsid w:val="005D460C"/>
    <w:rsid w:val="005E0941"/>
    <w:rsid w:val="005F4E08"/>
    <w:rsid w:val="005F595F"/>
    <w:rsid w:val="00601D69"/>
    <w:rsid w:val="0060237D"/>
    <w:rsid w:val="006117A6"/>
    <w:rsid w:val="00612C25"/>
    <w:rsid w:val="0062384B"/>
    <w:rsid w:val="00631DA5"/>
    <w:rsid w:val="00641B48"/>
    <w:rsid w:val="0068163A"/>
    <w:rsid w:val="006A2A27"/>
    <w:rsid w:val="00725232"/>
    <w:rsid w:val="007622E4"/>
    <w:rsid w:val="00777526"/>
    <w:rsid w:val="00790CE5"/>
    <w:rsid w:val="00791F72"/>
    <w:rsid w:val="007A16E0"/>
    <w:rsid w:val="007A3FAA"/>
    <w:rsid w:val="007D3943"/>
    <w:rsid w:val="007D3A5E"/>
    <w:rsid w:val="007F44FD"/>
    <w:rsid w:val="00822010"/>
    <w:rsid w:val="0084107E"/>
    <w:rsid w:val="00841900"/>
    <w:rsid w:val="00861877"/>
    <w:rsid w:val="008727E9"/>
    <w:rsid w:val="0089107C"/>
    <w:rsid w:val="00893E1C"/>
    <w:rsid w:val="008958F5"/>
    <w:rsid w:val="008975C3"/>
    <w:rsid w:val="008C7A76"/>
    <w:rsid w:val="008D24C6"/>
    <w:rsid w:val="008F08F5"/>
    <w:rsid w:val="008F4645"/>
    <w:rsid w:val="008F6739"/>
    <w:rsid w:val="00900260"/>
    <w:rsid w:val="009664DE"/>
    <w:rsid w:val="0097559A"/>
    <w:rsid w:val="009D361C"/>
    <w:rsid w:val="009E70A0"/>
    <w:rsid w:val="00A41891"/>
    <w:rsid w:val="00A65D04"/>
    <w:rsid w:val="00A702CE"/>
    <w:rsid w:val="00A718C9"/>
    <w:rsid w:val="00A83C0F"/>
    <w:rsid w:val="00AA7155"/>
    <w:rsid w:val="00AB304C"/>
    <w:rsid w:val="00AC6E83"/>
    <w:rsid w:val="00AD56EE"/>
    <w:rsid w:val="00AE240A"/>
    <w:rsid w:val="00B10451"/>
    <w:rsid w:val="00B4551C"/>
    <w:rsid w:val="00B4583E"/>
    <w:rsid w:val="00B760BA"/>
    <w:rsid w:val="00B82B93"/>
    <w:rsid w:val="00BB1020"/>
    <w:rsid w:val="00BC7B1D"/>
    <w:rsid w:val="00BD1A43"/>
    <w:rsid w:val="00BE2748"/>
    <w:rsid w:val="00BE3177"/>
    <w:rsid w:val="00BE368C"/>
    <w:rsid w:val="00C07566"/>
    <w:rsid w:val="00C14CEB"/>
    <w:rsid w:val="00C230CA"/>
    <w:rsid w:val="00C404BB"/>
    <w:rsid w:val="00C52B50"/>
    <w:rsid w:val="00C75DFD"/>
    <w:rsid w:val="00C86982"/>
    <w:rsid w:val="00CA1144"/>
    <w:rsid w:val="00CA5835"/>
    <w:rsid w:val="00CC0CEA"/>
    <w:rsid w:val="00CD23AE"/>
    <w:rsid w:val="00D21793"/>
    <w:rsid w:val="00D31EB7"/>
    <w:rsid w:val="00D577F9"/>
    <w:rsid w:val="00D93149"/>
    <w:rsid w:val="00D95968"/>
    <w:rsid w:val="00D96362"/>
    <w:rsid w:val="00DA189C"/>
    <w:rsid w:val="00DC0FD9"/>
    <w:rsid w:val="00DC693B"/>
    <w:rsid w:val="00DD3CB8"/>
    <w:rsid w:val="00DF1348"/>
    <w:rsid w:val="00DF1912"/>
    <w:rsid w:val="00DF32B0"/>
    <w:rsid w:val="00E00FF6"/>
    <w:rsid w:val="00E02743"/>
    <w:rsid w:val="00E32B3E"/>
    <w:rsid w:val="00E35B82"/>
    <w:rsid w:val="00E407FE"/>
    <w:rsid w:val="00E44F93"/>
    <w:rsid w:val="00EB29A2"/>
    <w:rsid w:val="00F076E8"/>
    <w:rsid w:val="00F10C90"/>
    <w:rsid w:val="00F50E4F"/>
    <w:rsid w:val="00F6340D"/>
    <w:rsid w:val="00FA7EDA"/>
    <w:rsid w:val="00FC0949"/>
    <w:rsid w:val="00FE6F7B"/>
    <w:rsid w:val="00FE701F"/>
    <w:rsid w:val="0CE6689F"/>
    <w:rsid w:val="0D022E07"/>
    <w:rsid w:val="17D017BB"/>
    <w:rsid w:val="1D05609A"/>
    <w:rsid w:val="1DCD54F1"/>
    <w:rsid w:val="20F44BC6"/>
    <w:rsid w:val="2123558A"/>
    <w:rsid w:val="257615DA"/>
    <w:rsid w:val="285E7F7C"/>
    <w:rsid w:val="2AE51F69"/>
    <w:rsid w:val="2C3D2CBD"/>
    <w:rsid w:val="3D214B2B"/>
    <w:rsid w:val="409A36DE"/>
    <w:rsid w:val="42820D2D"/>
    <w:rsid w:val="42F935E6"/>
    <w:rsid w:val="438D6C39"/>
    <w:rsid w:val="47A6099C"/>
    <w:rsid w:val="4E72168C"/>
    <w:rsid w:val="56C94E62"/>
    <w:rsid w:val="58DC059F"/>
    <w:rsid w:val="5FA852FB"/>
    <w:rsid w:val="61061490"/>
    <w:rsid w:val="628978E8"/>
    <w:rsid w:val="67C31588"/>
    <w:rsid w:val="68CA29C5"/>
    <w:rsid w:val="68DA545B"/>
    <w:rsid w:val="6D40110C"/>
    <w:rsid w:val="70453236"/>
    <w:rsid w:val="729476F2"/>
    <w:rsid w:val="7F16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FF2979"/>
  <w15:chartTrackingRefBased/>
  <w15:docId w15:val="{199A137A-9B91-E245-B1DD-42AE202E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CCE"/>
    <w:pPr>
      <w:widowControl w:val="0"/>
      <w:jc w:val="both"/>
    </w:pPr>
    <w:rPr>
      <w:kern w:val="2"/>
      <w:sz w:val="21"/>
      <w:szCs w:val="24"/>
    </w:rPr>
  </w:style>
  <w:style w:type="paragraph" w:styleId="3">
    <w:name w:val="heading 3"/>
    <w:basedOn w:val="a"/>
    <w:link w:val="30"/>
    <w:uiPriority w:val="9"/>
    <w:qFormat/>
    <w:pPr>
      <w:widowControl/>
      <w:spacing w:before="100" w:beforeAutospacing="1" w:after="100" w:afterAutospacing="1"/>
      <w:jc w:val="left"/>
      <w:outlineLvl w:val="2"/>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line-content2">
    <w:name w:val="headline-content2"/>
    <w:basedOn w:val="a0"/>
  </w:style>
  <w:style w:type="character" w:customStyle="1" w:styleId="a3">
    <w:name w:val="页眉 字符"/>
    <w:link w:val="a4"/>
    <w:rPr>
      <w:kern w:val="2"/>
      <w:sz w:val="18"/>
      <w:szCs w:val="18"/>
    </w:rPr>
  </w:style>
  <w:style w:type="character" w:styleId="a5">
    <w:name w:val="endnote reference"/>
    <w:rPr>
      <w:vertAlign w:val="superscript"/>
    </w:rPr>
  </w:style>
  <w:style w:type="character" w:styleId="a6">
    <w:name w:val="page number"/>
    <w:basedOn w:val="a0"/>
  </w:style>
  <w:style w:type="character" w:styleId="a7">
    <w:name w:val="Hyperlink"/>
    <w:uiPriority w:val="99"/>
    <w:unhideWhenUsed/>
    <w:rPr>
      <w:strike w:val="0"/>
      <w:dstrike w:val="0"/>
      <w:color w:val="136EC2"/>
      <w:u w:val="single"/>
    </w:rPr>
  </w:style>
  <w:style w:type="character" w:customStyle="1" w:styleId="30">
    <w:name w:val="标题 3 字符"/>
    <w:link w:val="3"/>
    <w:uiPriority w:val="9"/>
    <w:rPr>
      <w:rFonts w:ascii="宋体" w:hAnsi="宋体" w:cs="宋体"/>
      <w:b/>
      <w:bCs/>
      <w:sz w:val="24"/>
      <w:szCs w:val="2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9">
    <w:name w:val="annotation text"/>
    <w:basedOn w:val="a"/>
    <w:pPr>
      <w:jc w:val="left"/>
    </w:pPr>
  </w:style>
  <w:style w:type="paragraph" w:styleId="aa">
    <w:name w:val="footer"/>
    <w:basedOn w:val="a"/>
    <w:pPr>
      <w:tabs>
        <w:tab w:val="center" w:pos="4153"/>
        <w:tab w:val="right" w:pos="8306"/>
      </w:tabs>
      <w:snapToGrid w:val="0"/>
      <w:jc w:val="left"/>
    </w:pPr>
    <w:rPr>
      <w:sz w:val="18"/>
      <w:szCs w:val="18"/>
    </w:rPr>
  </w:style>
  <w:style w:type="paragraph" w:styleId="ab">
    <w:name w:val="endnote text"/>
    <w:basedOn w:val="a"/>
    <w:pPr>
      <w:snapToGrid w:val="0"/>
      <w:jc w:val="left"/>
    </w:pPr>
    <w:rPr>
      <w:szCs w:val="20"/>
    </w:rPr>
  </w:style>
  <w:style w:type="paragraph" w:styleId="ac">
    <w:name w:val="caption"/>
    <w:basedOn w:val="a"/>
    <w:next w:val="a"/>
    <w:qFormat/>
    <w:rPr>
      <w:rFonts w:ascii="Arial" w:eastAsia="黑体" w:hAnsi="Arial"/>
      <w:sz w:val="20"/>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7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116</Words>
  <Characters>664</Characters>
  <Application>Microsoft Office Word</Application>
  <DocSecurity>0</DocSecurity>
  <Lines>5</Lines>
  <Paragraphs>1</Paragraphs>
  <ScaleCrop>false</ScaleCrop>
  <Company>黑龙江大学</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学院教学计划</dc:title>
  <dc:subject/>
  <dc:creator>bn</dc:creator>
  <cp:keywords/>
  <cp:lastModifiedBy>Microsoft Office User</cp:lastModifiedBy>
  <cp:revision>31</cp:revision>
  <cp:lastPrinted>2007-06-12T03:03:00Z</cp:lastPrinted>
  <dcterms:created xsi:type="dcterms:W3CDTF">2023-10-18T09:26:00Z</dcterms:created>
  <dcterms:modified xsi:type="dcterms:W3CDTF">2024-08-13T09:54:00Z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